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0E835DD3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r w:rsidRPr="00785BB8">
              <w:t>nell'a.s.</w:t>
            </w:r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>159/2013 e s.m.i.)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r w:rsidRPr="00785BB8">
        <w:rPr>
          <w:u w:val="single"/>
        </w:rPr>
        <w:t>ss.mm.ii.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s.m.i.</w:t>
      </w:r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0D87F" w14:textId="77777777" w:rsidR="000F0687" w:rsidRDefault="000F0687" w:rsidP="00BA4709">
      <w:r>
        <w:separator/>
      </w:r>
    </w:p>
  </w:endnote>
  <w:endnote w:type="continuationSeparator" w:id="0">
    <w:p w14:paraId="70E4C4CE" w14:textId="77777777" w:rsidR="000F0687" w:rsidRDefault="000F0687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7A6AE" w14:textId="77777777" w:rsidR="000F0687" w:rsidRDefault="000F0687" w:rsidP="00BA4709">
      <w:r>
        <w:separator/>
      </w:r>
    </w:p>
  </w:footnote>
  <w:footnote w:type="continuationSeparator" w:id="0">
    <w:p w14:paraId="64DAFC55" w14:textId="77777777" w:rsidR="000F0687" w:rsidRDefault="000F0687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C653F"/>
    <w:rsid w:val="000F0687"/>
    <w:rsid w:val="001106B6"/>
    <w:rsid w:val="00147930"/>
    <w:rsid w:val="00165D59"/>
    <w:rsid w:val="001E25CA"/>
    <w:rsid w:val="00230270"/>
    <w:rsid w:val="002770FA"/>
    <w:rsid w:val="0028068F"/>
    <w:rsid w:val="00283992"/>
    <w:rsid w:val="00372F88"/>
    <w:rsid w:val="004079B4"/>
    <w:rsid w:val="00423856"/>
    <w:rsid w:val="00441D65"/>
    <w:rsid w:val="004E4CA7"/>
    <w:rsid w:val="006662A7"/>
    <w:rsid w:val="006E6892"/>
    <w:rsid w:val="00707070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32111"/>
    <w:rsid w:val="00A95E24"/>
    <w:rsid w:val="00AD7C09"/>
    <w:rsid w:val="00BA4709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Programma-Io-studio-2025-2026-Domanda</dc:title>
  <dc:creator>Comune di Roccamontepiano</dc:creator>
  <cp:lastModifiedBy>Francesco D'Angelo</cp:lastModifiedBy>
  <cp:revision>2</cp:revision>
  <cp:lastPrinted>2026-02-09T12:53:00Z</cp:lastPrinted>
  <dcterms:created xsi:type="dcterms:W3CDTF">2026-02-27T15:57:00Z</dcterms:created>
  <dcterms:modified xsi:type="dcterms:W3CDTF">2026-02-27T15:57:00Z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